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7 (Financial Difficulties)</w:t>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2" w:right="0" w:hanging="720"/>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[Guidance: This Schedule provides CCS and the Buyer with the option of using Credit Ratings and/or Financial Indicators for the purposes of the Financial Distress Provisions. Buyers may use any combination of these indicators to suit their own requirements subject to the detailed guidance below.]</w:t>
      </w:r>
      <w:r w:rsidDel="00000000" w:rsidR="00000000" w:rsidRPr="00000000">
        <w:rPr>
          <w:rFonts w:ascii="Arial" w:cs="Arial" w:eastAsia="Arial" w:hAnsi="Arial"/>
          <w:b w:val="0"/>
          <w:i w:val="0"/>
          <w:smallCaps w:val="0"/>
          <w:strike w:val="0"/>
          <w:color w:val="000000"/>
          <w:sz w:val="36"/>
          <w:szCs w:val="36"/>
          <w:u w:val="none"/>
          <w:shd w:fill="auto" w:val="clear"/>
          <w:vertAlign w:val="baseline"/>
          <w:rtl w:val="0"/>
        </w:rPr>
        <w:t xml:space="preserve">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definitions shall apply:</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8656.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704"/>
        <w:gridCol w:w="5952"/>
        <w:tblGridChange w:id="0">
          <w:tblGrid>
            <w:gridCol w:w="2704"/>
            <w:gridCol w:w="5952"/>
          </w:tblGrid>
        </w:tblGridChange>
      </w:tblGrid>
      <w:tr>
        <w:trPr>
          <w:cantSplit w:val="0"/>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64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“Applicable Financial Indicators”</w:t>
            </w:r>
          </w:p>
        </w:tc>
        <w:tc>
          <w:tcPr/>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141.7322834645671"/>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financial indicators from Paragraph </w:t>
            </w: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5.1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64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w:t>
            </w:r>
          </w:p>
        </w:tc>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02.2677165354329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Supplier’s board of directors;</w:t>
            </w:r>
          </w:p>
        </w:tc>
      </w:tr>
      <w:tr>
        <w:trPr>
          <w:cantSplit w:val="0"/>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64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 Confirmation”</w:t>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02.2677165354329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written confirmation from the Board in accordance with Paragraph 8 of this Schedule;</w:t>
            </w:r>
          </w:p>
        </w:tc>
      </w:tr>
      <w:tr>
        <w:trPr>
          <w:cantSplit w:val="0"/>
          <w:tblHeader w:val="0"/>
        </w:trPr>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64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“Cabinet Office Markets and Suppliers Team”</w:t>
            </w:r>
          </w:p>
        </w:tc>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02.2677165354329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64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02.2677165354329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each entity in the FDE Group as set out in Annex 1 to this Schedule;</w:t>
            </w:r>
          </w:p>
        </w:tc>
      </w:tr>
      <w:tr>
        <w:trPr>
          <w:cantSplit w:val="0"/>
          <w:tblHeader w:val="0"/>
        </w:trPr>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64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“FDE Group”</w:t>
            </w:r>
          </w:p>
        </w:tc>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02.2677165354329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[Supplier, Key Sub-contractors, [the Guarantor] and the [Monitored Suppliers]];</w:t>
            </w:r>
            <w:r w:rsidDel="00000000" w:rsidR="00000000" w:rsidRPr="00000000">
              <w:rPr>
                <w:rtl w:val="0"/>
              </w:rPr>
            </w:r>
          </w:p>
        </w:tc>
      </w:tr>
      <w:tr>
        <w:trPr>
          <w:cantSplit w:val="0"/>
          <w:tblHeader w:val="0"/>
        </w:trPr>
        <w:tc>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64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tc>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02.2677165354329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events listed in Paragraph 3.1 of this Schedule;</w:t>
            </w:r>
          </w:p>
        </w:tc>
      </w:tr>
      <w:tr>
        <w:trPr>
          <w:cantSplit w:val="0"/>
          <w:tblHeader w:val="0"/>
        </w:trPr>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64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Remediation Plan”</w:t>
            </w:r>
          </w:p>
        </w:tc>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02.2677165354329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the Contract in the event that a Financial Distress Event occurs;</w:t>
            </w:r>
          </w:p>
        </w:tc>
      </w:tr>
      <w:tr>
        <w:trPr>
          <w:cantSplit w:val="0"/>
          <w:tblHeader w:val="0"/>
        </w:trPr>
        <w:tc>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64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Indicators”</w:t>
            </w:r>
          </w:p>
        </w:tc>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02.2677165354329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64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Target Thresholds”</w:t>
            </w:r>
          </w:p>
        </w:tc>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02.2677165354329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target thresholds for each of the Financial Indicators set out at paragraph 5.1 of this Schedule;</w:t>
            </w:r>
          </w:p>
        </w:tc>
      </w:tr>
      <w:tr>
        <w:trPr>
          <w:cantSplit w:val="0"/>
          <w:tblHeader w:val="0"/>
        </w:trPr>
        <w:tc>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64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Suppliers”</w:t>
            </w:r>
          </w:p>
        </w:tc>
        <w:tc>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02.2677165354329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those entities specified at paragraph 5.2 of this Schedule;</w:t>
            </w:r>
          </w:p>
        </w:tc>
      </w:tr>
      <w:tr>
        <w:trPr>
          <w:cantSplit w:val="0"/>
          <w:tblHeader w:val="0"/>
        </w:trPr>
        <w:tc>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64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02.2677165354329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Annex 1 of this Schedule;</w:t>
            </w:r>
          </w:p>
        </w:tc>
      </w:tr>
      <w:tr>
        <w:trPr>
          <w:cantSplit w:val="0"/>
          <w:tblHeader w:val="0"/>
        </w:trPr>
        <w:tc>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64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“Strategic Supplier”</w:t>
            </w:r>
          </w:p>
        </w:tc>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02.2677165354329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those suppliers to government listed at </w:t>
            </w:r>
            <w:hyperlink r:id="r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https://www.gov.uk/government/publications/strategic-suppliers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bl>
    <w:p w:rsidR="00000000" w:rsidDel="00000000" w:rsidP="00000000" w:rsidRDefault="00000000" w:rsidRPr="00000000" w14:paraId="0000002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comply with the provisions of this Schedule in relation to the assessment of the financial standing of the FDE Group and the consequences of a change to that financial standing.</w:t>
      </w:r>
    </w:p>
    <w:p w:rsidR="00000000" w:rsidDel="00000000" w:rsidP="00000000" w:rsidRDefault="00000000" w:rsidRPr="00000000" w14:paraId="0000002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terms of this Schedule shall survive: </w:t>
      </w:r>
    </w:p>
    <w:p w:rsidR="00000000" w:rsidDel="00000000" w:rsidP="00000000" w:rsidRDefault="00000000" w:rsidRPr="00000000" w14:paraId="0000002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02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Call-Off Contract until the termination or expiry of the Call-Off Contract.</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Warranties and duty to notify</w:t>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the Relevant Authority for the benefit of the Relevant Authority that as at the Effective Date:</w:t>
      </w:r>
    </w:p>
    <w:p w:rsidR="00000000" w:rsidDel="00000000" w:rsidP="00000000" w:rsidRDefault="00000000" w:rsidRPr="00000000" w14:paraId="0000002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long term credit ratings issued for each entity in the FDE Group by each of the Rating Agencies are as set out in Annex 2 to this Schedule; and</w:t>
      </w:r>
    </w:p>
    <w:p w:rsidR="00000000" w:rsidDel="00000000" w:rsidP="00000000" w:rsidRDefault="00000000" w:rsidRPr="00000000" w14:paraId="0000002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financial position or, as appropriate, the financial performance of each of the Supplier, Guarantor and Key Sub-contractors satisfies the Financial Target Thresholds.</w:t>
      </w:r>
    </w:p>
    <w:p w:rsidR="00000000" w:rsidDel="00000000" w:rsidP="00000000" w:rsidRDefault="00000000" w:rsidRPr="00000000" w14:paraId="0000002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rsidR="00000000" w:rsidDel="00000000" w:rsidP="00000000" w:rsidRDefault="00000000" w:rsidRPr="00000000" w14:paraId="0000002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entity in the FDE Group with the Rating Agencies;</w:t>
      </w:r>
    </w:p>
    <w:p w:rsidR="00000000" w:rsidDel="00000000" w:rsidP="00000000" w:rsidRDefault="00000000" w:rsidRPr="00000000" w14:paraId="0000002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000000" w:rsidDel="00000000" w:rsidP="00000000" w:rsidRDefault="00000000" w:rsidRPr="00000000" w14:paraId="0000002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3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rsidR="00000000" w:rsidDel="00000000" w:rsidP="00000000" w:rsidRDefault="00000000" w:rsidRPr="00000000" w14:paraId="0000003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report submitted by the Supplier pursuant to paragraph 2.3.2 shall:</w:t>
      </w:r>
    </w:p>
    <w:p w:rsidR="00000000" w:rsidDel="00000000" w:rsidP="00000000" w:rsidRDefault="00000000" w:rsidRPr="00000000" w14:paraId="0000003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 single report with separate sections for each of the FDE Group entities;</w:t>
      </w:r>
    </w:p>
    <w:p w:rsidR="00000000" w:rsidDel="00000000" w:rsidP="00000000" w:rsidRDefault="00000000" w:rsidRPr="00000000" w14:paraId="0000003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sufficient level of information to enable the Relevant Authority to verify the calculations that have been made in respect of the Financial Indicators;</w:t>
      </w:r>
    </w:p>
    <w:p w:rsidR="00000000" w:rsidDel="00000000" w:rsidP="00000000" w:rsidRDefault="00000000" w:rsidRPr="00000000" w14:paraId="0000003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key financial and other supporting information (including any accounts data that has been relied on) as separate annexes;</w:t>
      </w:r>
    </w:p>
    <w:p w:rsidR="00000000" w:rsidDel="00000000" w:rsidP="00000000" w:rsidRDefault="00000000" w:rsidRPr="00000000" w14:paraId="0000003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00000" w:rsidDel="00000000" w:rsidP="00000000" w:rsidRDefault="00000000" w:rsidRPr="00000000" w14:paraId="0000003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history of the Financial Indicators reported by the Supplier in graph form to enable the Relevant Authority to easily analyse and assess the trends in financial performance.</w:t>
      </w:r>
    </w:p>
    <w:p w:rsidR="00000000" w:rsidDel="00000000" w:rsidP="00000000" w:rsidRDefault="00000000" w:rsidRPr="00000000" w14:paraId="0000003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events</w:t>
      </w:r>
    </w:p>
    <w:p w:rsidR="00000000" w:rsidDel="00000000" w:rsidP="00000000" w:rsidRDefault="00000000" w:rsidRPr="00000000" w14:paraId="0000003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shall be Financial Distress Events:</w:t>
      </w:r>
    </w:p>
    <w:p w:rsidR="00000000" w:rsidDel="00000000" w:rsidP="00000000" w:rsidRDefault="00000000" w:rsidRPr="00000000" w14:paraId="0000003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an FDE Group entity dropping below the applicable Credit Rating Threshold;</w:t>
      </w:r>
    </w:p>
    <w:p w:rsidR="00000000" w:rsidDel="00000000" w:rsidP="00000000" w:rsidRDefault="00000000" w:rsidRPr="00000000" w14:paraId="0000003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issuing a profits warning to a stock exchange or making any other public announcement, in each case about a material deterioration in its financial position or prospects;</w:t>
      </w:r>
    </w:p>
    <w:p w:rsidR="00000000" w:rsidDel="00000000" w:rsidP="00000000" w:rsidRDefault="00000000" w:rsidRPr="00000000" w14:paraId="0000003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an FDE Group entity;</w:t>
      </w:r>
    </w:p>
    <w:p w:rsidR="00000000" w:rsidDel="00000000" w:rsidP="00000000" w:rsidRDefault="00000000" w:rsidRPr="00000000" w14:paraId="0000003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committing a material breach of covenant to its lenders;</w:t>
      </w:r>
    </w:p>
    <w:p w:rsidR="00000000" w:rsidDel="00000000" w:rsidP="00000000" w:rsidRDefault="00000000" w:rsidRPr="00000000" w14:paraId="0000003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notifying CCS or the Buyer that the Supplier has not satisfied any material sums properly due under a specified invoice and not subject to a genuine dispute;</w:t>
      </w:r>
    </w:p>
    <w:p w:rsidR="00000000" w:rsidDel="00000000" w:rsidP="00000000" w:rsidRDefault="00000000" w:rsidRPr="00000000" w14:paraId="0000003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03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an FDE Group entity with respect to financial indebtedness greater than £5m or obligations under a service contract with a total contract value greater than £5m; </w:t>
      </w:r>
    </w:p>
    <w:p w:rsidR="00000000" w:rsidDel="00000000" w:rsidP="00000000" w:rsidRDefault="00000000" w:rsidRPr="00000000" w14:paraId="0000004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an FDE Group entity of any financial indebtedness;</w:t>
      </w:r>
    </w:p>
    <w:p w:rsidR="00000000" w:rsidDel="00000000" w:rsidP="00000000" w:rsidRDefault="00000000" w:rsidRPr="00000000" w14:paraId="0000004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an FDE Group entity becoming due as a result of an event of default;</w:t>
      </w:r>
    </w:p>
    <w:p w:rsidR="00000000" w:rsidDel="00000000" w:rsidP="00000000" w:rsidRDefault="00000000" w:rsidRPr="00000000" w14:paraId="0000004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an FDE Group entity; or</w:t>
      </w:r>
    </w:p>
    <w:p w:rsidR="00000000" w:rsidDel="00000000" w:rsidP="00000000" w:rsidRDefault="00000000" w:rsidRPr="00000000" w14:paraId="0000004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6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the Relevant Authority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04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[one]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04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Consequences of Financial Distress Events</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rsidR="00000000" w:rsidDel="00000000" w:rsidP="00000000" w:rsidRDefault="00000000" w:rsidRPr="00000000" w14:paraId="0000004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late or non-payment of a Key Sub-contractor pursuant to Paragraph 3.1.5, the Relevant Authority shall not exercise any of its rights or remedies under Paragraph 4.3 without first giving the Supplier 10 Working Days to:</w:t>
      </w:r>
    </w:p>
    <w:p w:rsidR="00000000" w:rsidDel="00000000" w:rsidP="00000000" w:rsidRDefault="00000000" w:rsidRPr="00000000" w14:paraId="0000004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w:t>
      </w:r>
    </w:p>
    <w:p w:rsidR="00000000" w:rsidDel="00000000" w:rsidP="00000000" w:rsidRDefault="00000000" w:rsidRPr="00000000" w14:paraId="0000004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the Relevant Authority’s reasonable satisfaction that there is a valid reason for late or non-payment.</w:t>
      </w:r>
    </w:p>
    <w:p w:rsidR="00000000" w:rsidDel="00000000" w:rsidP="00000000" w:rsidRDefault="00000000" w:rsidRPr="00000000" w14:paraId="0000004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Monitored Supplier, the Guarantor and/or any relevant Key Sub-contractor shall):</w:t>
      </w:r>
    </w:p>
    <w:p w:rsidR="00000000" w:rsidDel="00000000" w:rsidP="00000000" w:rsidRDefault="00000000" w:rsidRPr="00000000" w14:paraId="0000004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rsidR="00000000" w:rsidDel="00000000" w:rsidP="00000000" w:rsidRDefault="00000000" w:rsidRPr="00000000" w14:paraId="0000004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p>
    <w:p w:rsidR="00000000" w:rsidDel="00000000" w:rsidP="00000000" w:rsidRDefault="00000000" w:rsidRPr="00000000" w14:paraId="0000004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rsidR="00000000" w:rsidDel="00000000" w:rsidP="00000000" w:rsidRDefault="00000000" w:rsidRPr="00000000" w14:paraId="0000004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05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rsidR="00000000" w:rsidDel="00000000" w:rsidP="00000000" w:rsidRDefault="00000000" w:rsidRPr="00000000" w14:paraId="0000005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000000" w:rsidDel="00000000" w:rsidP="00000000" w:rsidRDefault="00000000" w:rsidRPr="00000000" w14:paraId="0000005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Remediation Plan by the Relevant Authority, the Supplier shall:</w:t>
      </w:r>
    </w:p>
    <w:p w:rsidR="00000000" w:rsidDel="00000000" w:rsidP="00000000" w:rsidRDefault="00000000" w:rsidRPr="00000000" w14:paraId="0000005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fortnightly):</w:t>
      </w:r>
    </w:p>
    <w:p w:rsidR="00000000" w:rsidDel="00000000" w:rsidP="00000000" w:rsidRDefault="00000000" w:rsidRPr="00000000" w14:paraId="0000005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rsidR="00000000" w:rsidDel="00000000" w:rsidP="00000000" w:rsidRDefault="00000000" w:rsidRPr="00000000" w14:paraId="0000005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05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rsidR="00000000" w:rsidDel="00000000" w:rsidP="00000000" w:rsidRDefault="00000000" w:rsidRPr="00000000" w14:paraId="0000005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Remediation Plan (including any updated Financial Distress Remediation Plan) and ensure that it achieves the financial and performance requirements set out in the Financial Distress Remediation Plan.</w:t>
      </w:r>
    </w:p>
    <w:p w:rsidR="00000000" w:rsidDel="00000000" w:rsidP="00000000" w:rsidRDefault="00000000" w:rsidRPr="00000000" w14:paraId="0000005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rsidR="00000000" w:rsidDel="00000000" w:rsidP="00000000" w:rsidRDefault="00000000" w:rsidRPr="00000000" w14:paraId="0000005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rsidR="00000000" w:rsidDel="00000000" w:rsidP="00000000" w:rsidRDefault="00000000" w:rsidRPr="00000000" w14:paraId="0000005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obtaining in advance written authority from Key Sub-contractors, the Guarantor and/or Monitored Suppliers authorising the disclosure of the information to the Buyer and/or entering into confidentiality agreements which permit disclosure;</w:t>
      </w:r>
    </w:p>
    <w:p w:rsidR="00000000" w:rsidDel="00000000" w:rsidP="00000000" w:rsidRDefault="00000000" w:rsidRPr="00000000" w14:paraId="0000005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agreeing in advance with the Relevant Authority, Key Sub-contractors, the Guarantor and/or Monitored Suppliers a form of confidentiality agreement to be entered by the relevant parties to enable the disclosure of the information to the Relevant Authority;</w:t>
      </w:r>
    </w:p>
    <w:p w:rsidR="00000000" w:rsidDel="00000000" w:rsidP="00000000" w:rsidRDefault="00000000" w:rsidRPr="00000000" w14:paraId="0000005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rsidR="00000000" w:rsidDel="00000000" w:rsidP="00000000" w:rsidRDefault="00000000" w:rsidRPr="00000000" w14:paraId="0000005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p>
    <w:p w:rsidR="00000000" w:rsidDel="00000000" w:rsidP="00000000" w:rsidRDefault="00000000" w:rsidRPr="00000000" w14:paraId="0000005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Indicators</w:t>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The Financial Indicators set out in the table at paragraph 5.1 are  established at Framework level to satisfy Cabinet Office Contract Tiering Tool requirements. For the purposes of your call off activity you may check that the original assessment of the indicators remains valid, but you may not re-run those assessments. You may also opt to ask the Supplier to monitor themselves according to some, rather than all, of the indicators in accordance with your internal procedures but you should not introduce new indicators or amend those set out below. Please take your own legal advice if you are uncertain how to proceed.]</w:t>
      </w:r>
    </w:p>
    <w:p w:rsidR="00000000" w:rsidDel="00000000" w:rsidP="00000000" w:rsidRDefault="00000000" w:rsidRPr="00000000" w14:paraId="0000006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Table2"/>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3"/>
        <w:gridCol w:w="1977"/>
        <w:gridCol w:w="1697"/>
        <w:gridCol w:w="3089"/>
        <w:tblGridChange w:id="0">
          <w:tblGrid>
            <w:gridCol w:w="2253"/>
            <w:gridCol w:w="1977"/>
            <w:gridCol w:w="1697"/>
            <w:gridCol w:w="3089"/>
          </w:tblGrid>
        </w:tblGridChange>
      </w:tblGrid>
      <w:tr>
        <w:trPr>
          <w:cantSplit w:val="0"/>
          <w:tblHeader w:val="0"/>
        </w:trPr>
        <w:tc>
          <w:tcPr>
            <w:shd w:fill="d9d9d9" w:val="cle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w:t>
            </w:r>
          </w:p>
        </w:tc>
        <w:tc>
          <w:tcPr>
            <w:shd w:fill="d9d9d9" w:val="cle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Calculation</w:t>
            </w:r>
            <w:r w:rsidDel="00000000" w:rsidR="00000000" w:rsidRPr="00000000">
              <w:rPr>
                <w:rFonts w:ascii="Arial" w:cs="Arial" w:eastAsia="Arial" w:hAnsi="Arial"/>
                <w:b w:val="1"/>
                <w:i w:val="0"/>
                <w:smallCaps w:val="0"/>
                <w:strike w:val="0"/>
                <w:color w:val="000000"/>
                <w:sz w:val="24"/>
                <w:szCs w:val="24"/>
                <w:u w:val="none"/>
                <w:shd w:fill="auto" w:val="clear"/>
                <w:vertAlign w:val="superscript"/>
                <w:rtl w:val="0"/>
              </w:rPr>
              <w:t xml:space="preserve">1</w:t>
            </w:r>
            <w:r w:rsidDel="00000000" w:rsidR="00000000" w:rsidRPr="00000000">
              <w:rPr>
                <w:rtl w:val="0"/>
              </w:rPr>
            </w:r>
          </w:p>
        </w:tc>
        <w:tc>
          <w:tcPr>
            <w:shd w:fill="d9d9d9" w:val="cle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Target Threshold:</w:t>
            </w:r>
          </w:p>
        </w:tc>
        <w:tc>
          <w:tcPr>
            <w:shd w:fill="d9d9d9" w:val="clea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bookmarkStart w:colFirst="0" w:colLast="0" w:name="_heading=h.3dy6vkm"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Monitoring and Reporting Frequency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[if different from the default position set out in Paragraph 2.3.2)]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[Operating Margin]</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[The higher of (a) the Operating Margin for the most recent 12 month period and (b) the average Operating Margin for the last two 12 month periods]</w:t>
            </w:r>
            <w:r w:rsidDel="00000000" w:rsidR="00000000" w:rsidRPr="00000000">
              <w:rPr>
                <w:rtl w:val="0"/>
              </w:rPr>
            </w:r>
          </w:p>
        </w:tc>
        <w:tc>
          <w:tcPr>
            <w:vAlign w:val="cente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[Operating Margin = Operating Profit / Revenue]</w:t>
            </w:r>
            <w:r w:rsidDel="00000000" w:rsidR="00000000" w:rsidRPr="00000000">
              <w:rPr>
                <w:rtl w:val="0"/>
              </w:rPr>
            </w:r>
          </w:p>
        </w:tc>
        <w:tc>
          <w:tcPr>
            <w:vAlign w:val="cente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i w:val="1"/>
                <w:sz w:val="24"/>
                <w:szCs w:val="24"/>
                <w:highlight w:val="yellow"/>
                <w:rtl w:val="0"/>
              </w:rPr>
              <w:t xml:space="preserve">&lt;5%</w:t>
            </w:r>
            <w:r w:rsidDel="00000000" w:rsidR="00000000" w:rsidRPr="00000000">
              <w:rPr>
                <w:rtl w:val="0"/>
              </w:rPr>
            </w:r>
          </w:p>
        </w:tc>
        <w:tc>
          <w:tcPr>
            <w:vAlign w:val="center"/>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 half yearly]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in arrears within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[120 / 90]</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 half year end]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based upon figures for the 12 months ending on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 half year end]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7030a0"/>
                <w:sz w:val="24"/>
                <w:szCs w:val="24"/>
                <w:highlight w:val="yellow"/>
                <w:u w:val="none"/>
                <w:vertAlign w:val="baseline"/>
              </w:rPr>
            </w:pPr>
            <w:r w:rsidDel="00000000" w:rsidR="00000000" w:rsidRPr="00000000">
              <w:rPr>
                <w:rFonts w:ascii="Arial" w:cs="Arial" w:eastAsia="Arial" w:hAnsi="Arial"/>
                <w:b w:val="1"/>
                <w:i w:val="0"/>
                <w:smallCaps w:val="0"/>
                <w:strike w:val="0"/>
                <w:color w:val="7030a0"/>
                <w:sz w:val="24"/>
                <w:szCs w:val="24"/>
                <w:highlight w:val="yellow"/>
                <w:u w:val="none"/>
                <w:vertAlign w:val="baseline"/>
                <w:rtl w:val="0"/>
              </w:rPr>
              <w:t xml:space="preserve">[Free Cash Flow to Net Debt Ratio]</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7030a0"/>
                <w:sz w:val="24"/>
                <w:szCs w:val="24"/>
                <w:u w:val="none"/>
                <w:shd w:fill="auto" w:val="clear"/>
                <w:vertAlign w:val="baseline"/>
              </w:rPr>
            </w:pPr>
            <w:r w:rsidDel="00000000" w:rsidR="00000000" w:rsidRPr="00000000">
              <w:rPr>
                <w:rFonts w:ascii="Arial" w:cs="Arial" w:eastAsia="Arial" w:hAnsi="Arial"/>
                <w:b w:val="1"/>
                <w:i w:val="0"/>
                <w:smallCaps w:val="0"/>
                <w:strike w:val="0"/>
                <w:color w:val="7030a0"/>
                <w:sz w:val="24"/>
                <w:szCs w:val="24"/>
                <w:u w:val="none"/>
                <w:shd w:fill="auto" w:val="clear"/>
                <w:vertAlign w:val="baseline"/>
                <w:rtl w:val="0"/>
              </w:rPr>
              <w:t xml:space="preserve">OR</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Debt to EBITDA Ratio]</w:t>
            </w:r>
            <w:r w:rsidDel="00000000" w:rsidR="00000000" w:rsidRPr="00000000">
              <w:rPr>
                <w:rtl w:val="0"/>
              </w:rPr>
            </w:r>
          </w:p>
        </w:tc>
        <w:tc>
          <w:tcPr>
            <w:vAlign w:val="cente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7030a0"/>
                <w:sz w:val="24"/>
                <w:szCs w:val="24"/>
                <w:highlight w:val="yellow"/>
                <w:u w:val="none"/>
                <w:vertAlign w:val="baseline"/>
              </w:rPr>
            </w:pP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[Free Cash Flow to Net Debt Ratio = Free Cash Flow / Net Debt]</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7030a0"/>
                <w:sz w:val="24"/>
                <w:szCs w:val="24"/>
                <w:u w:val="none"/>
                <w:shd w:fill="auto" w:val="clear"/>
                <w:vertAlign w:val="baseline"/>
              </w:rPr>
            </w:pPr>
            <w:r w:rsidDel="00000000" w:rsidR="00000000" w:rsidRPr="00000000">
              <w:rPr>
                <w:rFonts w:ascii="Arial" w:cs="Arial" w:eastAsia="Arial" w:hAnsi="Arial"/>
                <w:b w:val="0"/>
                <w:i w:val="1"/>
                <w:smallCaps w:val="0"/>
                <w:strike w:val="0"/>
                <w:color w:val="7030a0"/>
                <w:sz w:val="24"/>
                <w:szCs w:val="24"/>
                <w:u w:val="none"/>
                <w:shd w:fill="auto" w:val="clear"/>
                <w:vertAlign w:val="baseline"/>
                <w:rtl w:val="0"/>
              </w:rPr>
              <w:t xml:space="preserve">OR</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[Net Debt to EBITDA ratio = Net Debt / EBITDA]</w:t>
            </w:r>
            <w:r w:rsidDel="00000000" w:rsidR="00000000" w:rsidRPr="00000000">
              <w:rPr>
                <w:rtl w:val="0"/>
              </w:rPr>
            </w:r>
          </w:p>
        </w:tc>
        <w:tc>
          <w:tcPr>
            <w:vAlign w:val="center"/>
          </w:tcPr>
          <w:p w:rsidR="00000000" w:rsidDel="00000000" w:rsidP="00000000" w:rsidRDefault="00000000" w:rsidRPr="00000000" w14:paraId="00000073">
            <w:pPr>
              <w:spacing w:after="200" w:before="100" w:lineRule="auto"/>
              <w:jc w:val="center"/>
              <w:rPr>
                <w:rFonts w:ascii="Arial" w:cs="Arial" w:eastAsia="Arial" w:hAnsi="Arial"/>
                <w:b w:val="0"/>
                <w:i w:val="1"/>
                <w:smallCaps w:val="0"/>
                <w:strike w:val="0"/>
                <w:color w:val="7030a0"/>
                <w:sz w:val="24"/>
                <w:szCs w:val="24"/>
                <w:highlight w:val="yellow"/>
                <w:u w:val="none"/>
                <w:vertAlign w:val="baseline"/>
              </w:rPr>
            </w:pPr>
            <w:r w:rsidDel="00000000" w:rsidR="00000000" w:rsidRPr="00000000">
              <w:rPr>
                <w:rFonts w:ascii="Arial" w:cs="Arial" w:eastAsia="Arial" w:hAnsi="Arial"/>
                <w:i w:val="1"/>
                <w:sz w:val="24"/>
                <w:szCs w:val="24"/>
                <w:highlight w:val="yellow"/>
                <w:rtl w:val="0"/>
              </w:rPr>
              <w:t xml:space="preserve">&lt;5%</w:t>
            </w: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i w:val="1"/>
                <w:sz w:val="24"/>
                <w:szCs w:val="24"/>
                <w:highlight w:val="yellow"/>
                <w:rtl w:val="0"/>
              </w:rPr>
              <w:t xml:space="preserve">&gt;3.5</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times</w:t>
            </w:r>
          </w:p>
        </w:tc>
        <w:tc>
          <w:tcPr>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w:t>
            </w: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 half yearly]</w:t>
            </w:r>
            <w:r w:rsidDel="00000000" w:rsidR="00000000" w:rsidRPr="00000000">
              <w:rPr>
                <w:rFonts w:ascii="Arial" w:cs="Arial" w:eastAsia="Arial" w:hAnsi="Arial"/>
                <w:b w:val="0"/>
                <w:i w:val="1"/>
                <w:smallCaps w:val="0"/>
                <w:strike w:val="0"/>
                <w:color w:val="7030a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 arrears within </w:t>
            </w: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[120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90]</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based upon </w:t>
            </w: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[Free Cash Flow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EBITDA]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for the 12 months ending on, and Net Debt at,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 half year end]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Debt + Net Pension Deficit to EBITDA ratio]</w:t>
            </w:r>
            <w:r w:rsidDel="00000000" w:rsidR="00000000" w:rsidRPr="00000000">
              <w:rPr>
                <w:rtl w:val="0"/>
              </w:rPr>
            </w:r>
          </w:p>
        </w:tc>
        <w:tc>
          <w:tcPr>
            <w:vAlign w:val="cente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[Net Debt + Net Pension Deficit to EBITDA Ratio = (Net Debt + Net Pension Deficit) / EBITDA]</w:t>
            </w:r>
            <w:r w:rsidDel="00000000" w:rsidR="00000000" w:rsidRPr="00000000">
              <w:rPr>
                <w:rtl w:val="0"/>
              </w:rPr>
            </w:r>
          </w:p>
        </w:tc>
        <w:tc>
          <w:tcP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i w:val="1"/>
                <w:sz w:val="24"/>
                <w:szCs w:val="24"/>
                <w:highlight w:val="yellow"/>
                <w:rtl w:val="0"/>
              </w:rPr>
              <w:t xml:space="preserve">&gt;5.0</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times</w:t>
            </w:r>
          </w:p>
        </w:tc>
        <w:tc>
          <w:tcPr>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yearly in arrears within </w:t>
            </w:r>
            <w:r w:rsidDel="00000000" w:rsidR="00000000" w:rsidRPr="00000000">
              <w:rPr>
                <w:rFonts w:ascii="Arial" w:cs="Arial" w:eastAsia="Arial" w:hAnsi="Arial"/>
                <w:b w:val="0"/>
                <w:i w:val="1"/>
                <w:smallCaps w:val="0"/>
                <w:strike w:val="0"/>
                <w:color w:val="f79646"/>
                <w:sz w:val="24"/>
                <w:szCs w:val="24"/>
                <w:u w:val="none"/>
                <w:shd w:fill="auto" w:val="clear"/>
                <w:vertAlign w:val="baseline"/>
                <w:rtl w:val="0"/>
              </w:rPr>
              <w:t xml:space="preserve">90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days of each accounting reference date based upon EBITDA for the 12 months ending on, and the Net Debt and Net Pension Deficit at, the relevant accounting reference date</w:t>
            </w:r>
          </w:p>
        </w:tc>
      </w:tr>
      <w:tr>
        <w:trPr>
          <w:cantSplit w:val="0"/>
          <w:tblHeader w:val="0"/>
        </w:trPr>
        <w:tc>
          <w:tcPr>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Interest Paid Cover]</w:t>
            </w:r>
            <w:r w:rsidDel="00000000" w:rsidR="00000000" w:rsidRPr="00000000">
              <w:rPr>
                <w:rtl w:val="0"/>
              </w:rPr>
            </w:r>
          </w:p>
        </w:tc>
        <w:tc>
          <w:tcPr>
            <w:vAlign w:val="cente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[Net Interest Paid Cover = Earnings Before Interest and Tax / Net Interest Paid]</w:t>
            </w:r>
          </w:p>
        </w:tc>
        <w:tc>
          <w:tcPr>
            <w:vAlign w:val="cente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i w:val="1"/>
                <w:sz w:val="24"/>
                <w:szCs w:val="24"/>
                <w:highlight w:val="yellow"/>
                <w:rtl w:val="0"/>
              </w:rPr>
              <w:t xml:space="preserve">&lt;3.0</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times</w:t>
            </w:r>
          </w:p>
        </w:tc>
        <w:tc>
          <w:tcP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yearly]</w:t>
            </w:r>
            <w:r w:rsidDel="00000000" w:rsidR="00000000" w:rsidRPr="00000000">
              <w:rPr>
                <w:rFonts w:ascii="Arial" w:cs="Arial" w:eastAsia="Arial" w:hAnsi="Arial"/>
                <w:b w:val="0"/>
                <w:i w:val="1"/>
                <w:smallCaps w:val="0"/>
                <w:strike w:val="0"/>
                <w:color w:val="8064a2"/>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 arrears within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120 /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90]</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based upon figures for the 12 months ending on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[Acid Ratio]</w:t>
            </w:r>
            <w:r w:rsidDel="00000000" w:rsidR="00000000" w:rsidRPr="00000000">
              <w:rPr>
                <w:rtl w:val="0"/>
              </w:rPr>
            </w:r>
          </w:p>
        </w:tc>
        <w:tc>
          <w:tcPr>
            <w:vAlign w:val="cente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[Acid Ratio = (Current Assets – Inventories) / Current Liabilities]</w:t>
            </w:r>
            <w:r w:rsidDel="00000000" w:rsidR="00000000" w:rsidRPr="00000000">
              <w:rPr>
                <w:rtl w:val="0"/>
              </w:rPr>
            </w:r>
          </w:p>
        </w:tc>
        <w:tc>
          <w:tcPr>
            <w:vAlign w:val="cente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i w:val="1"/>
                <w:sz w:val="24"/>
                <w:szCs w:val="24"/>
                <w:highlight w:val="yellow"/>
                <w:rtl w:val="0"/>
              </w:rPr>
              <w:t xml:space="preserve">&lt;1.0</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times</w:t>
            </w:r>
          </w:p>
        </w:tc>
        <w:tc>
          <w:tcPr>
            <w:vAlign w:val="center"/>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yearly</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 arrears within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120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90]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based upon figures at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6</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Asset value]</w:t>
            </w:r>
            <w:r w:rsidDel="00000000" w:rsidR="00000000" w:rsidRPr="00000000">
              <w:rPr>
                <w:rtl w:val="0"/>
              </w:rPr>
            </w:r>
          </w:p>
        </w:tc>
        <w:tc>
          <w:tcPr>
            <w:vAlign w:val="cente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[Net Asset Value = Net Assets]</w:t>
            </w:r>
            <w:r w:rsidDel="00000000" w:rsidR="00000000" w:rsidRPr="00000000">
              <w:rPr>
                <w:rtl w:val="0"/>
              </w:rPr>
            </w:r>
          </w:p>
        </w:tc>
        <w:tc>
          <w:tcPr>
            <w:vAlign w:val="center"/>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[&gt; </w:t>
            </w:r>
            <w:r w:rsidDel="00000000" w:rsidR="00000000" w:rsidRPr="00000000">
              <w:rPr>
                <w:rFonts w:ascii="Arial" w:cs="Arial" w:eastAsia="Arial" w:hAnsi="Arial"/>
                <w:i w:val="1"/>
                <w:sz w:val="24"/>
                <w:szCs w:val="24"/>
                <w:highlight w:val="yellow"/>
                <w:rtl w:val="0"/>
              </w:rPr>
              <w:t xml:space="preserve">nil</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yearly</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 arrears within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120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90]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based upon figures at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7</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[Group Exposure Ratio]</w:t>
            </w:r>
            <w:r w:rsidDel="00000000" w:rsidR="00000000" w:rsidRPr="00000000">
              <w:rPr>
                <w:rtl w:val="0"/>
              </w:rPr>
            </w:r>
          </w:p>
        </w:tc>
        <w:tc>
          <w:tcPr>
            <w:vAlign w:val="cente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[Group Exposure / Gross Assets]</w:t>
            </w:r>
            <w:r w:rsidDel="00000000" w:rsidR="00000000" w:rsidRPr="00000000">
              <w:rPr>
                <w:rtl w:val="0"/>
              </w:rPr>
            </w:r>
          </w:p>
        </w:tc>
        <w:tc>
          <w:tcPr>
            <w:vAlign w:val="center"/>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i w:val="1"/>
                <w:sz w:val="24"/>
                <w:szCs w:val="24"/>
                <w:highlight w:val="yellow"/>
                <w:rtl w:val="0"/>
              </w:rPr>
              <w:t xml:space="preserve">&gt;50</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yearly in arrears within 90 days of each accounting reference date based upon figures at the relevant accounting reference date</w:t>
            </w:r>
          </w:p>
        </w:tc>
      </w:tr>
    </w:tbl>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Key: 1 – see Annex 3 to this Schedule which sets out the calculation methodology to be used in the calculation of each financial indicator.</w:t>
      </w:r>
      <w:r w:rsidDel="00000000" w:rsidR="00000000" w:rsidRPr="00000000">
        <w:rPr>
          <w:rtl w:val="0"/>
        </w:rPr>
      </w:r>
    </w:p>
    <w:p w:rsidR="00000000" w:rsidDel="00000000" w:rsidP="00000000" w:rsidRDefault="00000000" w:rsidRPr="00000000" w14:paraId="0000009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Suppliers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r w:rsidDel="00000000" w:rsidR="00000000" w:rsidRPr="00000000">
        <w:rPr>
          <w:rtl w:val="0"/>
        </w:rPr>
      </w:r>
    </w:p>
    <w:tbl>
      <w:tblPr>
        <w:tblStyle w:val="Table3"/>
        <w:tblW w:w="829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73"/>
        <w:gridCol w:w="4223"/>
        <w:tblGridChange w:id="0">
          <w:tblGrid>
            <w:gridCol w:w="4073"/>
            <w:gridCol w:w="4223"/>
          </w:tblGrid>
        </w:tblGridChange>
      </w:tblGrid>
      <w:tr>
        <w:trPr>
          <w:cantSplit w:val="0"/>
          <w:tblHeader w:val="0"/>
        </w:trPr>
        <w:tc>
          <w:tcPr>
            <w:shd w:fill="d9d9d9" w:val="clea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Supplier</w:t>
            </w:r>
          </w:p>
        </w:tc>
        <w:tc>
          <w:tcPr>
            <w:shd w:fill="d9d9d9" w:val="clea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Applicable Financial Indicators</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(these are the Financial Indicators from the table in Paragraph 5.1 which are to apply to the Monitored Suppliers)</w:t>
            </w:r>
          </w:p>
        </w:tc>
      </w:tr>
      <w:tr>
        <w:trPr>
          <w:cantSplit w:val="0"/>
          <w:tblHeader w:val="0"/>
        </w:trPr>
        <w:tc>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[Entity 1 e.g Group Member, Sub-contractor, Relevant Parent Company etc.] </w:t>
            </w:r>
            <w:r w:rsidDel="00000000" w:rsidR="00000000" w:rsidRPr="00000000">
              <w:rPr>
                <w:rtl w:val="0"/>
              </w:rPr>
            </w:r>
          </w:p>
        </w:tc>
        <w:tc>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 – Operating Margin]</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[2 – etc..]</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[3][4][5][6][7][8][etc..]</w:t>
            </w:r>
            <w:r w:rsidDel="00000000" w:rsidR="00000000" w:rsidRPr="00000000">
              <w:rPr>
                <w:rtl w:val="0"/>
              </w:rPr>
            </w:r>
          </w:p>
        </w:tc>
      </w:tr>
      <w:tr>
        <w:trPr>
          <w:cantSplit w:val="0"/>
          <w:tblHeader w:val="0"/>
        </w:trPr>
        <w:tc>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[Entity 2 e.g Group Member, Sub-contractor, Relevant Parent Company etc.]</w:t>
            </w:r>
          </w:p>
        </w:tc>
        <w:tc>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 – Operating Margin]</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[2 – etc.]</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[3][4][5][6][7][8][etc..]</w:t>
            </w:r>
          </w:p>
        </w:tc>
      </w:tr>
      <w:tr>
        <w:trPr>
          <w:cantSplit w:val="0"/>
          <w:tblHeader w:val="0"/>
        </w:trPr>
        <w:tc>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[etc.]</w:t>
            </w:r>
          </w:p>
        </w:tc>
        <w:tc>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[etc.]</w:t>
            </w:r>
          </w:p>
        </w:tc>
      </w:tr>
    </w:tbl>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100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rights</w:t>
      </w:r>
    </w:p>
    <w:p w:rsidR="00000000" w:rsidDel="00000000" w:rsidP="00000000" w:rsidRDefault="00000000" w:rsidRPr="00000000" w14:paraId="000000A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be entitled to terminate the Contract if:</w:t>
      </w:r>
    </w:p>
    <w:p w:rsidR="00000000" w:rsidDel="00000000" w:rsidP="00000000" w:rsidRDefault="00000000" w:rsidRPr="00000000" w14:paraId="000000A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the Relevant Authority of a Financial Distress Event in accordance with Paragraph 2.3.3;</w:t>
      </w:r>
    </w:p>
    <w:p w:rsidR="00000000" w:rsidDel="00000000" w:rsidP="00000000" w:rsidRDefault="00000000" w:rsidRPr="00000000" w14:paraId="000000A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fail to agree a Financial Distress Remediation Plan (or any updated Financial Distress Remediation Plan) in accordance with Paragraphs 4.3 to 4.5; and/or</w:t>
      </w:r>
    </w:p>
    <w:p w:rsidR="00000000" w:rsidDel="00000000" w:rsidP="00000000" w:rsidRDefault="00000000" w:rsidRPr="00000000" w14:paraId="000000A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Remediation Plan (or any updated Financial Distress Remediation Plan) in accordance with Paragraph 4.6.3,</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A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Primacy of Credit Ratings</w:t>
      </w:r>
    </w:p>
    <w:p w:rsidR="00000000" w:rsidDel="00000000" w:rsidP="00000000" w:rsidRDefault="00000000" w:rsidRPr="00000000" w14:paraId="000000A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rsidR="00000000" w:rsidDel="00000000" w:rsidP="00000000" w:rsidRDefault="00000000" w:rsidRPr="00000000" w14:paraId="000000A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0A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be entitled to require the Supplier to provide financial information in accordance with Paragraph 4.3.2(b).</w:t>
      </w:r>
    </w:p>
    <w:p w:rsidR="00000000" w:rsidDel="00000000" w:rsidP="00000000" w:rsidRDefault="00000000" w:rsidRPr="00000000" w14:paraId="000000A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 confirmation</w:t>
      </w:r>
    </w:p>
    <w:p w:rsidR="00000000" w:rsidDel="00000000" w:rsidP="00000000" w:rsidRDefault="00000000" w:rsidRPr="00000000" w14:paraId="000000A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If the Contract has been specified as a Critical Service Contract under Paragraph 1.1 of Call-Off Schedule 24 (Corporate Resolution Planning)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000000" w:rsidDel="00000000" w:rsidP="00000000" w:rsidRDefault="00000000" w:rsidRPr="00000000" w14:paraId="000000A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Effective Date or the previous Board Confirmation or is subsisting; or</w:t>
      </w:r>
    </w:p>
    <w:p w:rsidR="00000000" w:rsidDel="00000000" w:rsidP="00000000" w:rsidRDefault="00000000" w:rsidRPr="00000000" w14:paraId="000000A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p>
    <w:p w:rsidR="00000000" w:rsidDel="00000000" w:rsidP="00000000" w:rsidRDefault="00000000" w:rsidRPr="00000000" w14:paraId="000000A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p>
    <w:p w:rsidR="00000000" w:rsidDel="00000000" w:rsidP="00000000" w:rsidRDefault="00000000" w:rsidRPr="00000000" w14:paraId="000000B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first Board Confirmation to be provided under this Contract, the Supplier shall provide the Board Confirmation within 15 months of the Effective Date if earlier than the timescale for submission set out in Paragraph 8.1 of this Schedule.</w:t>
      </w:r>
    </w:p>
    <w:p w:rsidR="00000000" w:rsidDel="00000000" w:rsidP="00000000" w:rsidRDefault="00000000" w:rsidRPr="00000000" w14:paraId="000000B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3">
      <w:pPr>
        <w:spacing w:after="200" w:line="276" w:lineRule="auto"/>
        <w:jc w:val="left"/>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 Rating Agencies and their standard Rating System</w:t>
      </w:r>
    </w:p>
    <w:p w:rsidR="00000000" w:rsidDel="00000000" w:rsidP="00000000" w:rsidRDefault="00000000" w:rsidRPr="00000000" w14:paraId="000000B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1]</w:t>
      </w:r>
    </w:p>
    <w:p w:rsidR="00000000" w:rsidDel="00000000" w:rsidP="00000000" w:rsidRDefault="00000000" w:rsidRPr="00000000" w14:paraId="000000B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2]</w:t>
      </w:r>
    </w:p>
    <w:p w:rsidR="00000000" w:rsidDel="00000000" w:rsidP="00000000" w:rsidRDefault="00000000" w:rsidRPr="00000000" w14:paraId="000000B6">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3whwml4" w:id="2"/>
      <w:bookmarkEnd w:id="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2</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Ratings and Credit Rating Thresholds</w:t>
      </w:r>
      <w:r w:rsidDel="00000000" w:rsidR="00000000" w:rsidRPr="00000000">
        <w:rPr>
          <w:rtl w:val="0"/>
        </w:rPr>
      </w:r>
    </w:p>
    <w:tbl>
      <w:tblPr>
        <w:tblStyle w:val="Table4"/>
        <w:tblW w:w="6161.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B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0B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0B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shd w:fill="ffffff" w:val="clear"/>
          </w:tcPr>
          <w:p w:rsidR="00000000" w:rsidDel="00000000" w:rsidP="00000000" w:rsidRDefault="00000000" w:rsidRPr="00000000" w14:paraId="000000B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rating]</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B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[Guarantor]</w:t>
            </w:r>
            <w:r w:rsidDel="00000000" w:rsidR="00000000" w:rsidRPr="00000000">
              <w:rPr>
                <w:rtl w:val="0"/>
              </w:rPr>
            </w:r>
          </w:p>
        </w:tc>
        <w:tc>
          <w:tcPr>
            <w:shd w:fill="ffffff" w:val="clear"/>
          </w:tcPr>
          <w:p w:rsidR="00000000" w:rsidDel="00000000" w:rsidP="00000000" w:rsidRDefault="00000000" w:rsidRPr="00000000" w14:paraId="000000B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0B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B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3: Calculation methodology for Financial Indicators</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bookmarkStart w:colFirst="0" w:colLast="0" w:name="_heading=h.2bn6wsx" w:id="3"/>
      <w:bookmarkEnd w:id="3"/>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[Guidance: Amend this section as appropriate to reflect the calculation methodology for those Financial Indicators that are selected for inclusion in Paragraph 5.1 of this Schedule]</w:t>
      </w: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General methodology</w:t>
      </w:r>
    </w:p>
    <w:p w:rsidR="00000000" w:rsidDel="00000000" w:rsidP="00000000" w:rsidRDefault="00000000" w:rsidRPr="00000000" w14:paraId="000000C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Terminology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C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4"/>
      <w:bookmarkEnd w:id="4"/>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Groups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C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Foreign currency conversion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C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Treatment of non-underlying items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Financial Indicators should be based on the figures in the financial statements before adjusting for non-underlying items.</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Specific Methodology</w:t>
      </w:r>
    </w:p>
    <w:tbl>
      <w:tblPr>
        <w:tblStyle w:val="Table5"/>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8"/>
        <w:gridCol w:w="6478"/>
        <w:tblGridChange w:id="0">
          <w:tblGrid>
            <w:gridCol w:w="2538"/>
            <w:gridCol w:w="6478"/>
          </w:tblGrid>
        </w:tblGridChange>
      </w:tblGrid>
      <w:tr>
        <w:trPr>
          <w:cantSplit w:val="0"/>
          <w:tblHeader w:val="0"/>
        </w:trPr>
        <w:tc>
          <w:tcPr>
            <w:shd w:fill="d9d9d9" w:val="clear"/>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w:t>
            </w:r>
          </w:p>
        </w:tc>
        <w:tc>
          <w:tcPr>
            <w:shd w:fill="d9d9d9" w:val="clear"/>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Specific Methodology</w:t>
            </w:r>
          </w:p>
        </w:tc>
      </w:tr>
      <w:tr>
        <w:trPr>
          <w:cantSplit w:val="0"/>
          <w:tblHeader w:val="0"/>
        </w:trPr>
        <w:tc>
          <w:tcPr>
            <w:vAlign w:val="center"/>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Margin</w:t>
            </w:r>
          </w:p>
        </w:tc>
        <w:tc>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Figures for Operating Profit and Revenue should exclude the entity’s share of the results of any joint ventures or Associates.</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 entity has an operating loss (i.e. where the operating profit is negative), Operating Profit should be taken to be zero.</w:t>
            </w:r>
          </w:p>
        </w:tc>
      </w:tr>
      <w:tr>
        <w:trPr>
          <w:cantSplit w:val="0"/>
          <w:tblHeader w:val="0"/>
        </w:trPr>
        <w:tc>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Free Cash Flow to Net Debt Ratio</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Debt to EBITDA Ratio</w:t>
            </w:r>
          </w:p>
        </w:tc>
        <w:tc>
          <w:tcPr/>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Free Cash Flow</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Net Cash Flow from Operating Activities – Capital Expenditure</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Capital Expenditure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Purchase of property, plant &amp; equipment + purchase of intangible assets</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Debt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majority of the elements used to calculate the Free Cash Flow to Net Debt Ratio should be shown on the face of the Statement of Cash Flows and the Balance Sheet in a standard set of financial statements.</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Cash Flow from Operating Activities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This should be stated after deduction of interest and tax paid.</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Capital expenditure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Debt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Deferred consideration payable should be included in Net Debt despite typically being non-interest bearing.</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Cash and cash equivalents should include short-term financial investments shown in current assets.</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Net debt is negative (i.e. an entity has net cash), the relevant Financial Target Threshold should be treated as having been met.</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Debt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EBITDA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Operating profit + Depreciation charge + Amortisation charge</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Debt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Deferred consideration payable should be included in Net Debt despite typically being non-interest bearing.</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Cash and cash equivalents should include short-term financial investments shown in current assets.</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Net debt is negative (i.e. an entity has net cash), the relevant Financial Target Threshold should be treated as having been met. </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bookmarkStart w:colFirst="0" w:colLast="0" w:name="_heading=h.3as4poj" w:id="5"/>
            <w:bookmarkEnd w:id="5"/>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EBITDA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trPr>
          <w:cantSplit w:val="0"/>
          <w:tblHeader w:val="0"/>
        </w:trPr>
        <w:tc>
          <w:tcPr/>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Debt + Net  Pension Deficit to EBITDA ratio</w:t>
            </w:r>
          </w:p>
        </w:tc>
        <w:tc>
          <w:tcPr/>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Debt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Pension Deficit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Retirement Benefit Obligations – Retirement Benefit Assets</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EBITDA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Operating profit + Depreciation charge + Amortisation charge</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Debt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not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non-designated hedges). Borrowings should also include balances owed to other group members.</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Deferred consideration payable should be included in Net Debt despite typically being non-interest bearing.</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Cash and cash equivalents should include short-term financial investments shown in current assets.</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Pension Deficit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‘Net Debt + Net Pension Deficit’ is negative, the relevant Financial Target Threshold should be treated as having been met.</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EBITDA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blHeader w:val="0"/>
        </w:trPr>
        <w:tc>
          <w:tcPr>
            <w:vAlign w:val="center"/>
          </w:tcPr>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Interest Paid Cover</w:t>
            </w:r>
          </w:p>
        </w:tc>
        <w:tc>
          <w:tcPr/>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Earnings Before Interest and Tax</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Operating profit</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Interest Paid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Interest paid – Interest received</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Interest received and interest paid should be shown on the face of the Cash Flow statement.</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Net interest paid is negative (i.e. the entity has net interest received), the relevant Financial Target Threshold should be treated as having been met.</w:t>
            </w:r>
          </w:p>
        </w:tc>
      </w:tr>
      <w:tr>
        <w:trPr>
          <w:cantSplit w:val="0"/>
          <w:tblHeader w:val="0"/>
        </w:trPr>
        <w:tc>
          <w:tcPr>
            <w:vAlign w:val="center"/>
          </w:tcPr>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Acid Ratio</w:t>
            </w:r>
          </w:p>
        </w:tc>
        <w:tc>
          <w:tcPr/>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elements that are used to calculate the Acid Ratio are available on the face of the Balance Sheet in a standard set of financial statements.</w:t>
            </w:r>
          </w:p>
        </w:tc>
      </w:tr>
      <w:tr>
        <w:trPr>
          <w:cantSplit w:val="0"/>
          <w:tblHeader w:val="0"/>
        </w:trPr>
        <w:tc>
          <w:tcPr>
            <w:vAlign w:val="center"/>
          </w:tcPr>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6</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Asset value</w:t>
            </w:r>
          </w:p>
        </w:tc>
        <w:tc>
          <w:tcPr/>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blHeader w:val="0"/>
        </w:trPr>
        <w:tc>
          <w:tcPr>
            <w:vAlign w:val="center"/>
          </w:tcPr>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7</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Group Exposure Ratio</w:t>
            </w:r>
          </w:p>
        </w:tc>
        <w:tc>
          <w:tcPr/>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Group Exposure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Balances owed by Group Undertakings + Contingent liabilities assumed in support of Group Undertakings</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Gross Assets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Fixed Assets + Current Assets</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Group Exposure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Gross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Both Fixed assets and Current assets are shown on the face of the Balance Sheet</w:t>
            </w:r>
          </w:p>
        </w:tc>
      </w:tr>
    </w:tbl>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8">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9x2ik5" w:id="7"/>
      <w:bookmarkEnd w:id="7"/>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Annex 4: Board Confirmation</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Name:</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Reference Number:</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Board of Directors acknowledge the requirements set out at paragraph 8 of Joint Schedule 7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Financial Distress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13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720"/>
          <w:tab w:val="left" w:leader="none"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previous Board Confirmation and the Effective Date or is subsisting; or</w:t>
      </w:r>
    </w:p>
    <w:p w:rsidR="00000000" w:rsidDel="00000000" w:rsidP="00000000" w:rsidRDefault="00000000" w:rsidRPr="00000000" w14:paraId="0000013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720"/>
          <w:tab w:val="left" w:leader="none"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behalf of the Board of Directors:</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Chair</w:t>
        <w:tab/>
        <w:tab/>
        <w:t xml:space="preserve">…………………………………</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Director</w:t>
        <w:tab/>
        <w:tab/>
        <w:t xml:space="preserve">…………………………………</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13C">
      <w:pPr>
        <w:spacing w:after="200" w:line="276" w:lineRule="auto"/>
        <w:jc w:val="left"/>
        <w:rPr>
          <w:rFonts w:ascii="Arial" w:cs="Arial" w:eastAsia="Arial" w:hAnsi="Arial"/>
          <w:sz w:val="24"/>
          <w:szCs w:val="24"/>
        </w:rPr>
      </w:pPr>
      <w:bookmarkStart w:colFirst="0" w:colLast="0" w:name="_heading=h.4i7ojhp" w:id="9"/>
      <w:bookmarkEnd w:id="9"/>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F">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RM6289 Provision of Power Purchase Agreement</w:t>
      <w:tab/>
      <w:t xml:space="preserve">                                           </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41">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v3.6</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2">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Calibri" w:cs="Calibri" w:eastAsia="Calibri" w:hAnsi="Calibri"/>
        <w:b w:val="0"/>
        <w:i w:val="0"/>
        <w:smallCaps w:val="0"/>
        <w:strike w:val="0"/>
        <w:color w:val="bfbfbf"/>
        <w:sz w:val="22"/>
        <w:szCs w:val="22"/>
        <w:u w:val="none"/>
        <w:shd w:fill="auto" w:val="clear"/>
        <w:vertAlign w:val="baseline"/>
        <w:rtl w:val="0"/>
      </w:rPr>
      <w:t xml:space="preserve">Project Version: v1.0</w:t>
      <w:tab/>
      <w:tab/>
      <w:tab/>
      <w:t xml:space="preserve"> </w:t>
    </w:r>
    <w:r w:rsidDel="00000000" w:rsidR="00000000" w:rsidRPr="00000000">
      <w:rPr>
        <w:rFonts w:ascii="Calibri" w:cs="Calibri" w:eastAsia="Calibri" w:hAnsi="Calibri"/>
        <w:b w:val="0"/>
        <w:i w:val="0"/>
        <w:smallCaps w:val="0"/>
        <w:strike w:val="0"/>
        <w:color w:val="bfbfbf"/>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44">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2024</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next w:val="Normal"/>
    <w:link w:val="Heading1Char"/>
    <w:rsid w:val="00A96D9C"/>
    <w:pPr>
      <w:keepNext w:val="1"/>
      <w:keepLines w:val="1"/>
      <w:spacing w:after="120" w:before="480"/>
      <w:outlineLvl w:val="0"/>
    </w:pPr>
    <w:rPr>
      <w:b w:val="1"/>
      <w:sz w:val="48"/>
      <w:szCs w:val="48"/>
      <w:lang w:eastAsia="en-GB"/>
    </w:rPr>
  </w:style>
  <w:style w:type="paragraph" w:styleId="Heading2">
    <w:name w:val="heading 2"/>
    <w:basedOn w:val="Normal"/>
    <w:next w:val="Normal"/>
    <w:link w:val="Heading2Char"/>
    <w:rsid w:val="00A96D9C"/>
    <w:pPr>
      <w:keepNext w:val="1"/>
      <w:keepLines w:val="1"/>
      <w:spacing w:after="80" w:before="360"/>
      <w:outlineLvl w:val="1"/>
    </w:pPr>
    <w:rPr>
      <w:b w:val="1"/>
      <w:sz w:val="36"/>
      <w:szCs w:val="36"/>
      <w:lang w:eastAsia="en-GB"/>
    </w:rPr>
  </w:style>
  <w:style w:type="paragraph" w:styleId="Heading3">
    <w:name w:val="heading 3"/>
    <w:basedOn w:val="Normal"/>
    <w:next w:val="Normal"/>
    <w:link w:val="Heading3Char"/>
    <w:rsid w:val="00A96D9C"/>
    <w:pPr>
      <w:keepNext w:val="1"/>
      <w:keepLines w:val="1"/>
      <w:spacing w:after="80" w:before="280"/>
      <w:outlineLvl w:val="2"/>
    </w:pPr>
    <w:rPr>
      <w:b w:val="1"/>
      <w:sz w:val="28"/>
      <w:szCs w:val="28"/>
      <w:lang w:eastAsia="en-GB"/>
    </w:rPr>
  </w:style>
  <w:style w:type="paragraph" w:styleId="Heading4">
    <w:name w:val="heading 4"/>
    <w:basedOn w:val="Normal"/>
    <w:next w:val="Normal"/>
    <w:link w:val="Heading4Char"/>
    <w:rsid w:val="00A96D9C"/>
    <w:pPr>
      <w:keepNext w:val="1"/>
      <w:keepLines w:val="1"/>
      <w:spacing w:after="40" w:before="240"/>
      <w:outlineLvl w:val="3"/>
    </w:pPr>
    <w:rPr>
      <w:b w:val="1"/>
      <w:sz w:val="24"/>
      <w:szCs w:val="24"/>
      <w:lang w:eastAsia="en-GB"/>
    </w:rPr>
  </w:style>
  <w:style w:type="paragraph" w:styleId="Heading5">
    <w:name w:val="heading 5"/>
    <w:basedOn w:val="Normal"/>
    <w:next w:val="Normal"/>
    <w:link w:val="Heading5Char"/>
    <w:rsid w:val="00A96D9C"/>
    <w:pPr>
      <w:keepNext w:val="1"/>
      <w:keepLines w:val="1"/>
      <w:spacing w:after="40" w:before="220"/>
      <w:outlineLvl w:val="4"/>
    </w:pPr>
    <w:rPr>
      <w:b w:val="1"/>
      <w:lang w:eastAsia="en-GB"/>
    </w:rPr>
  </w:style>
  <w:style w:type="paragraph" w:styleId="Heading6">
    <w:name w:val="heading 6"/>
    <w:basedOn w:val="Normal"/>
    <w:next w:val="Normal"/>
    <w:link w:val="Heading6Char"/>
    <w:rsid w:val="00A96D9C"/>
    <w:pPr>
      <w:keepNext w:val="1"/>
      <w:keepLines w:val="1"/>
      <w:spacing w:after="40" w:before="200"/>
      <w:outlineLvl w:val="5"/>
    </w:pPr>
    <w:rPr>
      <w:b w:val="1"/>
      <w:sz w:val="20"/>
      <w:szCs w:val="20"/>
      <w:lang w:eastAsia="en-GB"/>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rsid w:val="00A96D9C"/>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rsid w:val="00A96D9C"/>
    <w:pPr>
      <w:numPr>
        <w:ilvl w:val="2"/>
        <w:numId w:val="2"/>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rsid w:val="00A96D9C"/>
    <w:pPr>
      <w:numPr>
        <w:ilvl w:val="3"/>
      </w:numPr>
      <w:tabs>
        <w:tab w:val="clear" w:pos="1985"/>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rsid w:val="00A96D9C"/>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rsid w:val="00A96D9C"/>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rsid w:val="00A96D9C"/>
    <w:pPr>
      <w:tabs>
        <w:tab w:val="clear" w:pos="1134"/>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tdBodyText" w:customStyle="1">
    <w:name w:val="Std Body Text"/>
    <w:basedOn w:val="Normal"/>
    <w:qFormat w:val="1"/>
    <w:rsid w:val="00106E9B"/>
    <w:pPr>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StdBodyTextBold" w:customStyle="1">
    <w:name w:val="Std Body Text Bold"/>
    <w:basedOn w:val="Normal"/>
    <w:next w:val="StdBodyText"/>
    <w:link w:val="StdBodyTextBoldChar"/>
    <w:qFormat w:val="1"/>
    <w:rsid w:val="00106E9B"/>
    <w:pPr>
      <w:overflowPunct w:val="1"/>
      <w:autoSpaceDE w:val="1"/>
      <w:autoSpaceDN w:val="1"/>
      <w:adjustRightInd w:val="1"/>
      <w:spacing w:after="200" w:before="100"/>
      <w:jc w:val="left"/>
      <w:textAlignment w:val="auto"/>
    </w:pPr>
    <w:rPr>
      <w:rFonts w:ascii="Arial" w:cs="Times New Roman" w:hAnsi="Arial"/>
      <w:b w:val="1"/>
      <w:sz w:val="24"/>
      <w:szCs w:val="24"/>
      <w:lang w:eastAsia="en-GB"/>
    </w:rPr>
  </w:style>
  <w:style w:type="character" w:styleId="StdBodyTextBoldChar" w:customStyle="1">
    <w:name w:val="Std Body Text Bold Char"/>
    <w:basedOn w:val="DefaultParagraphFont"/>
    <w:link w:val="StdBodyTextBold"/>
    <w:rsid w:val="00106E9B"/>
    <w:rPr>
      <w:rFonts w:ascii="Arial" w:cs="Times New Roman" w:eastAsia="Times New Roman" w:hAnsi="Arial"/>
      <w:b w:val="1"/>
      <w:sz w:val="24"/>
      <w:szCs w:val="24"/>
      <w:lang w:eastAsia="en-GB"/>
    </w:rPr>
  </w:style>
  <w:style w:type="paragraph" w:styleId="StdBodyText1" w:customStyle="1">
    <w:name w:val="Std Body Text 1"/>
    <w:basedOn w:val="StdBodyText"/>
    <w:rsid w:val="005F1595"/>
    <w:pPr>
      <w:ind w:left="720"/>
    </w:pPr>
  </w:style>
  <w:style w:type="paragraph" w:styleId="AnnexHeading" w:customStyle="1">
    <w:name w:val="Annex Heading"/>
    <w:basedOn w:val="Normal"/>
    <w:next w:val="Normal"/>
    <w:rsid w:val="006B02AC"/>
    <w:pPr>
      <w:numPr>
        <w:numId w:val="4"/>
      </w:numPr>
      <w:overflowPunct w:val="1"/>
      <w:autoSpaceDE w:val="1"/>
      <w:autoSpaceDN w:val="1"/>
      <w:adjustRightInd w:val="1"/>
      <w:spacing w:after="300" w:before="100"/>
      <w:jc w:val="center"/>
      <w:textAlignment w:val="auto"/>
    </w:pPr>
    <w:rPr>
      <w:rFonts w:ascii="Arial Bold" w:cs="Times New Roman" w:hAnsi="Arial Bold"/>
      <w:b w:val="1"/>
      <w:caps w:val="1"/>
      <w:sz w:val="24"/>
      <w:szCs w:val="24"/>
      <w:lang w:eastAsia="en-GB"/>
    </w:rPr>
  </w:style>
  <w:style w:type="paragraph" w:styleId="AppendixText1" w:customStyle="1">
    <w:name w:val="Appendix Text 1"/>
    <w:basedOn w:val="Normal"/>
    <w:next w:val="StdBodyText1"/>
    <w:rsid w:val="006B02AC"/>
    <w:pPr>
      <w:numPr>
        <w:numId w:val="5"/>
      </w:numPr>
      <w:overflowPunct w:val="1"/>
      <w:autoSpaceDE w:val="1"/>
      <w:autoSpaceDN w:val="1"/>
      <w:adjustRightInd w:val="1"/>
      <w:spacing w:after="200" w:before="100"/>
      <w:jc w:val="left"/>
      <w:textAlignment w:val="auto"/>
    </w:pPr>
    <w:rPr>
      <w:rFonts w:ascii="Arial" w:cs="Times New Roman" w:hAnsi="Arial"/>
      <w:b w:val="1"/>
      <w:sz w:val="24"/>
      <w:szCs w:val="24"/>
      <w:lang w:eastAsia="en-GB"/>
    </w:rPr>
  </w:style>
  <w:style w:type="paragraph" w:styleId="AppendixText2" w:customStyle="1">
    <w:name w:val="Appendix Text 2"/>
    <w:basedOn w:val="AppendixText1"/>
    <w:next w:val="Normal"/>
    <w:rsid w:val="006B02AC"/>
    <w:pPr>
      <w:numPr>
        <w:ilvl w:val="1"/>
      </w:numPr>
    </w:pPr>
    <w:rPr>
      <w:b w:val="0"/>
    </w:rPr>
  </w:style>
  <w:style w:type="paragraph" w:styleId="AppendixText3" w:customStyle="1">
    <w:name w:val="Appendix Text 3"/>
    <w:basedOn w:val="Normal"/>
    <w:next w:val="Normal"/>
    <w:rsid w:val="006B02AC"/>
    <w:pPr>
      <w:numPr>
        <w:ilvl w:val="2"/>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4" w:customStyle="1">
    <w:name w:val="Appendix Text 4"/>
    <w:basedOn w:val="Normal"/>
    <w:next w:val="Normal"/>
    <w:rsid w:val="006B02AC"/>
    <w:pPr>
      <w:numPr>
        <w:ilvl w:val="3"/>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5" w:customStyle="1">
    <w:name w:val="Appendix Text 5"/>
    <w:basedOn w:val="Normal"/>
    <w:next w:val="Normal"/>
    <w:rsid w:val="006B02AC"/>
    <w:pPr>
      <w:numPr>
        <w:ilvl w:val="4"/>
        <w:numId w:val="5"/>
      </w:numPr>
      <w:tabs>
        <w:tab w:val="left" w:pos="720"/>
        <w:tab w:val="left" w:pos="252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6" w:customStyle="1">
    <w:name w:val="Appendix Text 6"/>
    <w:basedOn w:val="AppendixText5"/>
    <w:rsid w:val="006B02AC"/>
    <w:pPr>
      <w:numPr>
        <w:ilvl w:val="5"/>
      </w:numPr>
    </w:pPr>
  </w:style>
  <w:style w:type="numbering" w:styleId="Level" w:customStyle="1">
    <w:name w:val="Level"/>
    <w:uiPriority w:val="99"/>
    <w:rsid w:val="0034142A"/>
    <w:pPr>
      <w:numPr>
        <w:numId w:val="7"/>
      </w:numPr>
    </w:pPr>
  </w:style>
  <w:style w:type="numbering" w:styleId="Scheduleheading" w:customStyle="1">
    <w:name w:val="Schedule heading"/>
    <w:uiPriority w:val="99"/>
    <w:rsid w:val="0034142A"/>
    <w:pPr>
      <w:numPr>
        <w:numId w:val="8"/>
      </w:numPr>
    </w:pPr>
  </w:style>
  <w:style w:type="paragraph" w:styleId="StdBodyText4" w:customStyle="1">
    <w:name w:val="Std Body Text 4"/>
    <w:basedOn w:val="Normal"/>
    <w:rsid w:val="0034142A"/>
    <w:pPr>
      <w:overflowPunct w:val="1"/>
      <w:autoSpaceDE w:val="1"/>
      <w:autoSpaceDN w:val="1"/>
      <w:adjustRightInd w:val="1"/>
      <w:spacing w:after="200" w:before="100"/>
      <w:ind w:left="1803"/>
      <w:jc w:val="left"/>
      <w:textAlignment w:val="auto"/>
    </w:pPr>
    <w:rPr>
      <w:rFonts w:ascii="Arial" w:cs="Times New Roman" w:hAnsi="Arial"/>
      <w:sz w:val="24"/>
      <w:szCs w:val="24"/>
      <w:lang w:eastAsia="en-GB"/>
    </w:rPr>
  </w:style>
  <w:style w:type="character" w:styleId="Heading1Char" w:customStyle="1">
    <w:name w:val="Heading 1 Char"/>
    <w:basedOn w:val="DefaultParagraphFont"/>
    <w:link w:val="Heading1"/>
    <w:rsid w:val="00A96D9C"/>
    <w:rPr>
      <w:rFonts w:ascii="Calibri" w:cs="Arial" w:eastAsia="Times New Roman" w:hAnsi="Calibri"/>
      <w:b w:val="1"/>
      <w:sz w:val="48"/>
      <w:szCs w:val="48"/>
      <w:lang w:eastAsia="en-GB"/>
    </w:rPr>
  </w:style>
  <w:style w:type="character" w:styleId="Heading2Char" w:customStyle="1">
    <w:name w:val="Heading 2 Char"/>
    <w:basedOn w:val="DefaultParagraphFont"/>
    <w:link w:val="Heading2"/>
    <w:rsid w:val="00A96D9C"/>
    <w:rPr>
      <w:rFonts w:ascii="Calibri" w:cs="Arial" w:eastAsia="Times New Roman" w:hAnsi="Calibri"/>
      <w:b w:val="1"/>
      <w:sz w:val="36"/>
      <w:szCs w:val="36"/>
      <w:lang w:eastAsia="en-GB"/>
    </w:rPr>
  </w:style>
  <w:style w:type="character" w:styleId="Heading3Char" w:customStyle="1">
    <w:name w:val="Heading 3 Char"/>
    <w:basedOn w:val="DefaultParagraphFont"/>
    <w:link w:val="Heading3"/>
    <w:rsid w:val="00A96D9C"/>
    <w:rPr>
      <w:rFonts w:ascii="Calibri" w:cs="Arial" w:eastAsia="Times New Roman" w:hAnsi="Calibri"/>
      <w:b w:val="1"/>
      <w:sz w:val="28"/>
      <w:szCs w:val="28"/>
      <w:lang w:eastAsia="en-GB"/>
    </w:rPr>
  </w:style>
  <w:style w:type="character" w:styleId="Heading4Char" w:customStyle="1">
    <w:name w:val="Heading 4 Char"/>
    <w:basedOn w:val="DefaultParagraphFont"/>
    <w:link w:val="Heading4"/>
    <w:rsid w:val="00A96D9C"/>
    <w:rPr>
      <w:rFonts w:ascii="Calibri" w:cs="Arial" w:eastAsia="Times New Roman" w:hAnsi="Calibri"/>
      <w:b w:val="1"/>
      <w:sz w:val="24"/>
      <w:szCs w:val="24"/>
      <w:lang w:eastAsia="en-GB"/>
    </w:rPr>
  </w:style>
  <w:style w:type="character" w:styleId="Heading5Char" w:customStyle="1">
    <w:name w:val="Heading 5 Char"/>
    <w:basedOn w:val="DefaultParagraphFont"/>
    <w:link w:val="Heading5"/>
    <w:rsid w:val="00A96D9C"/>
    <w:rPr>
      <w:rFonts w:ascii="Calibri" w:cs="Arial" w:eastAsia="Times New Roman" w:hAnsi="Calibri"/>
      <w:b w:val="1"/>
      <w:lang w:eastAsia="en-GB"/>
    </w:rPr>
  </w:style>
  <w:style w:type="character" w:styleId="Heading6Char" w:customStyle="1">
    <w:name w:val="Heading 6 Char"/>
    <w:basedOn w:val="DefaultParagraphFont"/>
    <w:link w:val="Heading6"/>
    <w:rsid w:val="00A96D9C"/>
    <w:rPr>
      <w:rFonts w:ascii="Calibri" w:cs="Arial" w:eastAsia="Times New Roman" w:hAnsi="Calibri"/>
      <w:b w:val="1"/>
      <w:sz w:val="20"/>
      <w:szCs w:val="20"/>
      <w:lang w:eastAsia="en-GB"/>
    </w:rPr>
  </w:style>
  <w:style w:type="paragraph" w:styleId="Title">
    <w:name w:val="Title"/>
    <w:basedOn w:val="Normal"/>
    <w:next w:val="Normal"/>
    <w:link w:val="TitleChar"/>
    <w:rsid w:val="00A96D9C"/>
    <w:pPr>
      <w:keepNext w:val="1"/>
      <w:keepLines w:val="1"/>
      <w:spacing w:after="120" w:before="480"/>
    </w:pPr>
    <w:rPr>
      <w:b w:val="1"/>
      <w:sz w:val="72"/>
      <w:szCs w:val="72"/>
      <w:lang w:eastAsia="en-GB"/>
    </w:rPr>
  </w:style>
  <w:style w:type="character" w:styleId="TitleChar" w:customStyle="1">
    <w:name w:val="Title Char"/>
    <w:basedOn w:val="DefaultParagraphFont"/>
    <w:link w:val="Title"/>
    <w:rsid w:val="00A96D9C"/>
    <w:rPr>
      <w:rFonts w:ascii="Calibri" w:cs="Arial" w:eastAsia="Times New Roman" w:hAnsi="Calibri"/>
      <w:b w:val="1"/>
      <w:sz w:val="72"/>
      <w:szCs w:val="72"/>
      <w:lang w:eastAsia="en-GB"/>
    </w:rPr>
  </w:style>
  <w:style w:type="paragraph" w:styleId="Subtitle">
    <w:name w:val="Subtitle"/>
    <w:basedOn w:val="Normal"/>
    <w:next w:val="Normal"/>
    <w:link w:val="SubtitleChar"/>
    <w:rsid w:val="00A96D9C"/>
    <w:pPr>
      <w:keepNext w:val="1"/>
      <w:keepLines w:val="1"/>
      <w:spacing w:after="80" w:before="360"/>
    </w:pPr>
    <w:rPr>
      <w:rFonts w:ascii="Georgia" w:cs="Georgia" w:eastAsia="Georgia" w:hAnsi="Georgia"/>
      <w:i w:val="1"/>
      <w:color w:val="666666"/>
      <w:sz w:val="48"/>
      <w:szCs w:val="48"/>
      <w:lang w:eastAsia="en-GB"/>
    </w:rPr>
  </w:style>
  <w:style w:type="character" w:styleId="SubtitleChar" w:customStyle="1">
    <w:name w:val="Subtitle Char"/>
    <w:basedOn w:val="DefaultParagraphFont"/>
    <w:link w:val="Subtitle"/>
    <w:rsid w:val="00A96D9C"/>
    <w:rPr>
      <w:rFonts w:ascii="Georgia" w:cs="Georgia" w:eastAsia="Georgia" w:hAnsi="Georgia"/>
      <w:i w:val="1"/>
      <w:color w:val="666666"/>
      <w:sz w:val="48"/>
      <w:szCs w:val="48"/>
      <w:lang w:eastAsia="en-GB"/>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trategic-supplier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Hb2IAXXbqweYPQ91b5bQIdZqbg==">CgMxLjAyCWguM2R5NnZrbTIJaC4xY2k5M3hiMgloLjN3aHdtbDQyCWguMmJuNndzeDIIaC5xc2g3MHEyCWguM2FzNHBvajIJaC4xcHhlendjMgloLjQ5eDJpazUyCWguMnAyY3NyeTIJaC40aTdvamhwOAByITFaMHpweVZ5WDgtd0ZXeWFybVVnbUhuc3ktVFhQc0NwRA==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2024-08-09T12:00:00Z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iManageFooter">
    <vt:lpwstr>#109517348v2&lt;L_LIVE_EMEA1&gt; - PPA v3.0 (Joint Schedule 07  - Financial Difficulties v.3.6)</vt:lpwstr>
  </property>
</Properties>
</file>